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Вопросы и ответы по тематике исполнения налоговых уведомлений, направленных в 2022 году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Что такое налоговое уведомление и как его исполнить 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Обязанность по ежегодному исчислению для налогоплательщиков-физических лиц транспортного налога, земельного налога, налога на имущество физических лиц и НДФЛ (в отношении ряда доходов, по которым не удержан НДФЛ) возложена на налоговые органы (пункт 2 статьи 52 Налогового кодекса Российской Федерации, далее – НК РФ). 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этим налоговые органы не позднее 30 дней до наступления срока уплаты по вышеперечисленным налогам направляют налогоплательщикам-физическим лицам налоговые уведомление для уплаты налогов. </w:t>
      </w:r>
      <w:bookmarkStart w:id="1" w:name="Par2"/>
      <w:bookmarkEnd w:id="1"/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Форма налогового уведомления утверждена приказом ФНС России от 07.09.2016 № ММВ-7-11/477@ и включает сумму налога, подлежащую уплате, сведения об объектах налогообложения, налоговой базе, сроке уплаты налога, а также сведения, необходимые для перечисления налога в бюджетную систему Российской Федерации (</w:t>
      </w:r>
      <w:r>
        <w:rPr>
          <w:sz w:val="28"/>
          <w:szCs w:val="28"/>
          <w:lang w:val="en-US"/>
        </w:rPr>
        <w:t>QR</w:t>
      </w:r>
      <w:r>
        <w:rPr>
          <w:sz w:val="28"/>
          <w:szCs w:val="28"/>
        </w:rPr>
        <w:t xml:space="preserve">-код, штрих-код, УИН, банковские реквизиты платежа). 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случае, если общая сумма налогов, исчисленных налоговым органом, составляет менее 100 рублей, налоговое уведомление не направляется, 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уведомления. 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Налоговое </w:t>
      </w:r>
      <w:hyperlink r:id="rId5" w:history="1">
        <w:r>
          <w:rPr>
            <w:rStyle w:val="a3"/>
            <w:color w:val="auto"/>
            <w:sz w:val="28"/>
            <w:szCs w:val="28"/>
            <w:u w:val="none"/>
          </w:rPr>
          <w:t>уведомление</w:t>
        </w:r>
      </w:hyperlink>
      <w:r>
        <w:rPr>
          <w:sz w:val="28"/>
          <w:szCs w:val="28"/>
        </w:rPr>
        <w:t xml:space="preserve"> может быть направлено налогоплательщику по почте заказным письмом или передано в электронной форме через личный кабинет налогоплательщика. В случае направления налогового уведомления по почте заказным письмом налоговое уведомление считается полученным по истечении шести дней с даты направления заказного письма. 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Налогоплательщик (его </w:t>
      </w:r>
      <w:hyperlink r:id="rId6" w:history="1">
        <w:r>
          <w:rPr>
            <w:rStyle w:val="a3"/>
            <w:color w:val="auto"/>
            <w:sz w:val="28"/>
            <w:szCs w:val="28"/>
            <w:u w:val="none"/>
          </w:rPr>
          <w:t>законный</w:t>
        </w:r>
      </w:hyperlink>
      <w:r>
        <w:rPr>
          <w:sz w:val="28"/>
          <w:szCs w:val="28"/>
        </w:rPr>
        <w:t xml:space="preserve"> или уполномоченный представитель) вправе получить налоговое уведомление на бумажном носителе под расписку в любом налоговом органе либо через многофункциональный центр предоставления государственных и муниципальных услуг на основании заявления о выдаче налогового уведомления. Налоговое уведомление передается налогоплательщику (его законному или уполномоченному представителю либо через многофункциональный центр предоставления государственных и муниципальных услуг) в срок не позднее пяти дней со дня получения налоговым органом заявления о выдаче налогового уведомления (форма заявления утверждена приказом ФНС России от 11.11.2019 № ММВ-7-21/560@)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Налоговое уведомление за налоговый период 2021 года должно быть исполнено (налоги в нём оплачены) не позднее 1 декабря 2022 года.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2. Основные изменения в налогообложении имущества физических лиц 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Налоговые уведомления, направленные в 2022 году, содержат расчет имущественных налогов за налоговый период 2021 года. При этом по сравнению с предыдущим налоговым периодом произошли следующие основные изменения: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1) по транспортному налогу 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 расчете налога применен новый Перечень легковых автомобилей средней стоимостью от 3 млн руб. за 2021 год, размещенный на сайте Минпромторга России https://minpromtorg.gov.ru/docs/#!perechen_legkovyh_avtomobiley_sredney_stoimostyu_ot_3_millionov_rubley_podlezhashhiy_primeneniyu_v_ocherednom_nalogovom_periode_2021_god (по сравнению с аналогичным Перечнем 2020 года в него дополнительно включены такие марки и модели автомобилей, как Skoda KODIAQ SportLine, Toyota Fortuner 2.8 Elegance, Citroen SpaceTourer BUSINESS LOUNGE XL, Peugeot TRAVELLER Business VIP Long.); 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применены изменения в системе налоговых ставок и льгот в соответствии с законами субъектов Российской Федерации по месту нахождения транспортных средств. С информацией о налоговых ставках и льготах можно ознакомиться в рубрике «Справочная информация о ставках и льготах по имущественным налогам» (</w:t>
      </w:r>
      <w:hyperlink r:id="rId7" w:history="1">
        <w:r>
          <w:rPr>
            <w:rStyle w:val="a3"/>
            <w:sz w:val="28"/>
            <w:szCs w:val="28"/>
          </w:rPr>
          <w:t>https://www.nalog.ru/rn77/service/tax/</w:t>
        </w:r>
      </w:hyperlink>
      <w:r>
        <w:rPr>
          <w:sz w:val="28"/>
          <w:szCs w:val="28"/>
        </w:rPr>
        <w:t xml:space="preserve">). 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2) по земельному налогу </w:t>
      </w:r>
    </w:p>
    <w:p w:rsidR="00313057" w:rsidRDefault="00313057" w:rsidP="003130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исчисление суммы налога производится по налоговой ставке, установленной в соответствии с подпунктом 2 пункта 1 статьи 394 НК РФ (не более 1,5% «для прочих земель») в отношении земельного участка, по которому из органа, осуществляющего федеральный государственный земельный контроль (надзор), поступила информация о нарушениях обязательных требований к использованию и охране объектов земельных отношений:</w:t>
      </w:r>
    </w:p>
    <w:p w:rsidR="00313057" w:rsidRDefault="00313057" w:rsidP="003130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в связи с неиспользованием для сельхозпроизводства земельного участка,  относящегося к землям сельхозназначения или к землям в составе зон сельхозиспользования; </w:t>
      </w:r>
    </w:p>
    <w:p w:rsidR="00313057" w:rsidRDefault="00313057" w:rsidP="00313057">
      <w:pPr>
        <w:ind w:firstLine="709"/>
        <w:jc w:val="both"/>
      </w:pPr>
      <w:r>
        <w:rPr>
          <w:sz w:val="28"/>
          <w:szCs w:val="28"/>
        </w:rPr>
        <w:t>б) в связи с использованием не по целевому назначению (неиспользованием по целевому назначению) в предпринимательской деятельности земельного участка, предназначенного для индивидуального жилищного строительства, ведения личного подсобного хозяйства, садоводства или огородничества;</w:t>
      </w:r>
    </w:p>
    <w:p w:rsidR="00313057" w:rsidRDefault="00313057" w:rsidP="003130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применены изменения в системе налоговых ставок и льгот в соответствии с нормативными правовыми актами муниципальных образований (законами городов федерального значения) по месту нахождения земельных участков. С информацией о налоговых ставках и льготах можно ознакомиться в рубрике «Справочная информация о ставках и льготах по имущественным налогам» (</w:t>
      </w:r>
      <w:hyperlink r:id="rId8" w:history="1">
        <w:r>
          <w:rPr>
            <w:rStyle w:val="a3"/>
            <w:sz w:val="28"/>
            <w:szCs w:val="28"/>
          </w:rPr>
          <w:t>https://www.nalog.ru/rn77/service/tax/</w:t>
        </w:r>
      </w:hyperlink>
      <w:r>
        <w:rPr>
          <w:sz w:val="28"/>
          <w:szCs w:val="28"/>
        </w:rPr>
        <w:t xml:space="preserve">); 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применены новые результаты государственной кадастровой оценки земель, вступившие в силу с 2021 года. С этими результатами можно </w:t>
      </w:r>
      <w:r>
        <w:rPr>
          <w:sz w:val="28"/>
          <w:szCs w:val="28"/>
        </w:rPr>
        <w:lastRenderedPageBreak/>
        <w:t xml:space="preserve">ознакомиться, получив выписку из Единого государственного реестра недвижимости; 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3) по налогу на имущество физических лиц  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для расчета налога за налоговый период 2021 года во всех регионах применена кадастровая стоимость объектов недвижимости, при этом для исчисления налога использованы понижающие коэффициенты: 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0.2 – для г. Севастополя где кадастровая стоимость применяется в качестве налоговой базы первый год;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0.4 (в 2021 году был 0.2) – </w:t>
      </w:r>
      <w:r>
        <w:rPr>
          <w:b/>
          <w:sz w:val="28"/>
          <w:szCs w:val="28"/>
        </w:rPr>
        <w:t>10 регионов</w:t>
      </w:r>
      <w:r>
        <w:rPr>
          <w:sz w:val="28"/>
          <w:szCs w:val="28"/>
        </w:rPr>
        <w:t xml:space="preserve"> (Республики Алтай, Крым, Алтайский край, Приморский край, Волгоградская, Иркутская, Курганская, Свердловская, Томская области, Чукотский автономный округ), где кадастровая стоимость применяется в качестве налоговой базы второй год; 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0.6 (в 2021 году был 0.4) – для </w:t>
      </w:r>
      <w:r>
        <w:rPr>
          <w:b/>
          <w:sz w:val="28"/>
          <w:szCs w:val="28"/>
        </w:rPr>
        <w:t>4 регионов</w:t>
      </w:r>
      <w:r>
        <w:rPr>
          <w:sz w:val="28"/>
          <w:szCs w:val="28"/>
        </w:rPr>
        <w:t xml:space="preserve"> (Республики Дагестан и Северная Осетия - Алания, Красноярский край, Смоленская область), где кадастровая стоимость применяется в качестве налоговой базы третий год; 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10-ти процентного ограничения роста налога по сравнению с предшествующим налоговым периодом – для </w:t>
      </w:r>
      <w:r>
        <w:rPr>
          <w:b/>
          <w:sz w:val="28"/>
          <w:szCs w:val="28"/>
        </w:rPr>
        <w:t>74 регионов</w:t>
      </w:r>
      <w:r>
        <w:rPr>
          <w:sz w:val="28"/>
          <w:szCs w:val="28"/>
        </w:rPr>
        <w:t xml:space="preserve">, где кадастровая стоимость применяется в качестве налоговой базы третий и последующие годы (за исключением объектов, включенных в перечень, определяемый в соответствии с </w:t>
      </w:r>
      <w:hyperlink r:id="rId9" w:history="1">
        <w:r>
          <w:rPr>
            <w:rStyle w:val="a3"/>
            <w:color w:val="auto"/>
            <w:sz w:val="28"/>
            <w:szCs w:val="28"/>
            <w:u w:val="none"/>
          </w:rPr>
          <w:t>п. 7 ст. 378.2</w:t>
        </w:r>
      </w:hyperlink>
      <w:r>
        <w:rPr>
          <w:sz w:val="28"/>
          <w:szCs w:val="28"/>
        </w:rPr>
        <w:t xml:space="preserve"> НК РФ, а также объектов, предусмотренных </w:t>
      </w:r>
      <w:hyperlink r:id="rId10" w:history="1">
        <w:r>
          <w:rPr>
            <w:rStyle w:val="a3"/>
            <w:color w:val="auto"/>
            <w:sz w:val="28"/>
            <w:szCs w:val="28"/>
            <w:u w:val="none"/>
          </w:rPr>
          <w:t>абз. 2 п. 10 ст. 378.2</w:t>
        </w:r>
      </w:hyperlink>
      <w:r>
        <w:rPr>
          <w:sz w:val="28"/>
          <w:szCs w:val="28"/>
        </w:rPr>
        <w:t xml:space="preserve"> НК РФ); 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0.6 в отношении объекта налогообложения, образованного начиная с четвертого налогового периода, в котором налоговая база определяется в соответствующем муниципальном образовании (городе федерального значения) исходя из кадастровой стоимости - применительно к первому налоговому периоду, за который исчисляется налог в отношении этого объекта налогообложения (за исключением объектов, включенных в перечень, определяемый в соответствии с </w:t>
      </w:r>
      <w:hyperlink r:id="rId11" w:history="1">
        <w:r>
          <w:rPr>
            <w:rStyle w:val="a3"/>
            <w:color w:val="auto"/>
            <w:sz w:val="28"/>
            <w:szCs w:val="28"/>
            <w:u w:val="none"/>
          </w:rPr>
          <w:t>п. 7 ст. 378.2</w:t>
        </w:r>
      </w:hyperlink>
      <w:r>
        <w:rPr>
          <w:sz w:val="28"/>
          <w:szCs w:val="28"/>
        </w:rPr>
        <w:t xml:space="preserve"> НК РФ, а также объектов, предусмотренных </w:t>
      </w:r>
      <w:hyperlink r:id="rId12" w:history="1">
        <w:r>
          <w:rPr>
            <w:rStyle w:val="a3"/>
            <w:color w:val="auto"/>
            <w:sz w:val="28"/>
            <w:szCs w:val="28"/>
            <w:u w:val="none"/>
          </w:rPr>
          <w:t>абз. 2 п. 10 ст. 378.2</w:t>
        </w:r>
      </w:hyperlink>
      <w:r>
        <w:rPr>
          <w:sz w:val="28"/>
          <w:szCs w:val="28"/>
        </w:rPr>
        <w:t xml:space="preserve"> НК РФ); 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применены изменения в системе налоговых ставок и льгот в соответствии с нормативными правовыми актами муниципальных образований (городов федерального значения) по месту нахождения объектов налогообложения. С информацией о налоговых ставках и льготах можно ознакомиться в рубрике «Справочная информация о ставках и льготах по имущественным налогам» (</w:t>
      </w:r>
      <w:hyperlink r:id="rId13" w:history="1">
        <w:r>
          <w:rPr>
            <w:rStyle w:val="a3"/>
            <w:sz w:val="28"/>
            <w:szCs w:val="28"/>
          </w:rPr>
          <w:t>https://www.nalog.ru/rn77/service/tax/</w:t>
        </w:r>
      </w:hyperlink>
      <w:r>
        <w:rPr>
          <w:sz w:val="28"/>
          <w:szCs w:val="28"/>
        </w:rPr>
        <w:t>);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применены новые результаты государственной кадастровой оценки объектов недвижимости, вступившие в силу с 2021 года. С этими результатами можно ознакомиться, получив выписку из Единого государственного реестра недвижимости.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Поскольку расчет налогов на имущество проводится исходя из налоговых ставок, льгот и налоговой базы, определяемой на региональном и муниципальном уровне, причины изменения величины налогов в конкретной ситуации можно уточнить в налоговой инспекции или обратившись в контакт-центр ФНС России (тел. 8 800 – 222-22-22).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Почему в 2022 году изменились налоги на имущество 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Поскольку расчет налогов проводится исходя из налоговых ставок, льгот и налоговой базы, определяемой на региональном и муниципальном уровне, причины изменения величины налогов в конкретной ситуации можно уточнить в налоговой инспекции или обратившись в контакт-центр ФНС России (тел. 8 800 – 222-22-22). Существуют и общие основания для изменения налоговой нагрузки. 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Транспортный налог. </w:t>
      </w:r>
      <w:r>
        <w:rPr>
          <w:sz w:val="28"/>
          <w:szCs w:val="28"/>
        </w:rPr>
        <w:t xml:space="preserve">Рост налога может обуславливаться следующими причинами: 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изменение налоговых ставок и (или) отмена льгот, полномочия по установлению которых относятся к компетенции субъектов РФ. С информацией о налоговых ставках и льготах можно ознакомиться в рубрике «Справочная информация о ставках и льготах по имущественным налогам» (</w:t>
      </w:r>
      <w:hyperlink r:id="rId14" w:history="1">
        <w:r>
          <w:rPr>
            <w:rStyle w:val="a3"/>
            <w:sz w:val="28"/>
            <w:szCs w:val="28"/>
          </w:rPr>
          <w:t>https://www.nalog.ru/rn77/service/tax/</w:t>
        </w:r>
      </w:hyperlink>
      <w:r>
        <w:rPr>
          <w:sz w:val="28"/>
          <w:szCs w:val="28"/>
        </w:rPr>
        <w:t xml:space="preserve">); 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применение повышающих коэффициентов при расчете налога за легковые автомашины средней стоимостью от 3 млн. руб. согласно размещённому на сайте Минпромторга России Перечню легковых автомобилей средней стоимостью от 3 миллионов рублей для налогового периода 2021 года; 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наличие иных оснований (например, в результате перерасчета налога, утраты права на применение льготы, поступления уточненных сведений от регистрирующих органов и т.п.). 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Земельный налог. </w:t>
      </w:r>
      <w:r>
        <w:rPr>
          <w:sz w:val="28"/>
          <w:szCs w:val="28"/>
        </w:rPr>
        <w:t xml:space="preserve">Рост налога может обуславливаться следующими причинами: 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изменение налоговых ставок и (или) отмена льгот, полномочия по установлению которых относятся к компетенции представительных органов муниципальных образований. С информацией о налоговых ставках и льготах можно ознакомиться в рубрике «Справочная информация о ставках и льготах по имущественным налогам» (</w:t>
      </w:r>
      <w:hyperlink r:id="rId15" w:history="1">
        <w:r>
          <w:rPr>
            <w:rStyle w:val="a3"/>
            <w:sz w:val="28"/>
            <w:szCs w:val="28"/>
          </w:rPr>
          <w:t>https://www.nalog.ru/rn77/service/tax/</w:t>
        </w:r>
      </w:hyperlink>
      <w:r>
        <w:rPr>
          <w:sz w:val="28"/>
          <w:szCs w:val="28"/>
        </w:rPr>
        <w:t>);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изменение кадастровой стоимости земельного участка, например, в связи со вступлением в силу новых результатов кадастровой оценки, или переводом земельного участка из одной категории земель в другую, изменением вида разрешенного использования, уточнения площади. Информацию о кадастровой стоимости можно получить на сайте Росреестра;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наличие иных оснований (например, в результате перерасчета налога, утраты права на применение льготы, поступления уточненных сведений от регистрирующих органов и т.п.). 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Налог на имущество физлиц. </w:t>
      </w:r>
      <w:r>
        <w:rPr>
          <w:sz w:val="28"/>
          <w:szCs w:val="28"/>
        </w:rPr>
        <w:t xml:space="preserve">Рост налога может обуславливаться следующими причинами: 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рост коэффициента к налоговому периоду. В частности, в 10 </w:t>
      </w:r>
      <w:r>
        <w:rPr>
          <w:b/>
          <w:sz w:val="28"/>
          <w:szCs w:val="28"/>
        </w:rPr>
        <w:t xml:space="preserve">регионах </w:t>
      </w:r>
      <w:r>
        <w:rPr>
          <w:sz w:val="28"/>
          <w:szCs w:val="28"/>
        </w:rPr>
        <w:t>(Республики Алтай, Крым, Алтайский край, Приморский край, Волгоградская, Иркутская, Курганская, Свердловская, Томская области, Чукотский автономный округ), где кадастровая стоимость используется второй год, при расчете налога будет применен коэффициент 0,4 (был в 2021 г. – 0,2). В 4</w:t>
      </w:r>
      <w:r>
        <w:rPr>
          <w:b/>
          <w:sz w:val="28"/>
          <w:szCs w:val="28"/>
        </w:rPr>
        <w:t xml:space="preserve"> регионах </w:t>
      </w:r>
      <w:r>
        <w:rPr>
          <w:sz w:val="28"/>
          <w:szCs w:val="28"/>
        </w:rPr>
        <w:t>третьего года применения кадастровой стоимости (Республики Дагестан и Северная Осетия - Алания, Красноярский край, Смоленская область) коэффициент достигнет значения 0,6 (был в 2021 г. – 0,4);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изменение кадастровой стоимости объекта недвижимости, например, в связи со вступлением в силу новых результатов кадастровой оценки, или изменением вида разрешенного использования, назначения объекта. Информацию о кадастровой стоимости можно получить на сайте Росреестра; 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 изменение налоговых ставок или отмена льгот, полномочия по установлению которых относятся к компетенции представительных органов муниципальных образований (городов федерального значения). С информацией о налоговых ставках и льготах можно ознакомиться в рубрике «Справочная информация о ставках и льготах по имущественным налогам» (</w:t>
      </w:r>
      <w:hyperlink r:id="rId16" w:history="1">
        <w:r>
          <w:rPr>
            <w:rStyle w:val="a3"/>
            <w:sz w:val="28"/>
            <w:szCs w:val="28"/>
          </w:rPr>
          <w:t>https://www.nalog.ru/rn77/service/tax/</w:t>
        </w:r>
      </w:hyperlink>
      <w:r>
        <w:rPr>
          <w:sz w:val="28"/>
          <w:szCs w:val="28"/>
        </w:rPr>
        <w:t>).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Как проверить налоговые ставки и льготы, указанные в налоговом уведомлении 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Налоговые ставки и льготы (включая налоговые вычеты из налоговой базы) устанавливаются нормативными правовыми актами различного уровня: 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транспортному налогу: главой 28 НК РФ и законами субъектов Российской Федерации по месту нахождения транспортного средства; 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земельному налогу и налогу на имущество физических лиц: главами 31, 32 НК РФ и нормативными правовыми актами представительных органов муниципальных образований (законами городов федерального значения) по месту нахождения объектов недвижимости.   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 информацией о налоговых ставках, налоговых льготах и налоговых вычетах (по всем видам налогов во всех муниципальных образованиях) можно ознакомиться в рубрике «Справочная информация о ставках и льготах по имущественным налогам» (</w:t>
      </w:r>
      <w:hyperlink r:id="rId17" w:history="1">
        <w:r>
          <w:rPr>
            <w:rStyle w:val="a3"/>
            <w:sz w:val="28"/>
            <w:szCs w:val="28"/>
          </w:rPr>
          <w:t>https://www.nalog.ru/rn77/service/tax/</w:t>
        </w:r>
      </w:hyperlink>
      <w:r>
        <w:rPr>
          <w:sz w:val="28"/>
          <w:szCs w:val="28"/>
        </w:rPr>
        <w:t>), либо обратившись в налоговые инспекции или в контакт-центр ФНС России (тел. 8 800 – 222-22-22).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Как воспользоваться льготой, неучтенной в налоговом уведомлении 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Шаг 1.</w:t>
      </w:r>
      <w:r>
        <w:rPr>
          <w:sz w:val="28"/>
          <w:szCs w:val="28"/>
        </w:rPr>
        <w:t xml:space="preserve"> Проверить, учтена ли льгота в налоговом уведомлении. Для этого изучить содержание граф «Размер налоговых льгот», «Налоговый вычет» в налоговом уведомлении.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Шаг 2.</w:t>
      </w:r>
      <w:r>
        <w:rPr>
          <w:sz w:val="28"/>
          <w:szCs w:val="28"/>
        </w:rPr>
        <w:t xml:space="preserve"> Если в налоговом уведомлении льготы не применены, необходимо выяснить относится ли налогоплательщик к категориям лиц, имеющим право на льготы по объектам в налоговом уведомлении. 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Транспортный налог 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Освобождение от уплаты налога предусмотрено только на региональном уровне – законами субъектов Российской Федерации для определенных льготных категорий налогоплательщиков (инвалиды, ветераны, многодетные и т.п.). 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 информацией о налоговых льготах можно ознакомиться в рубрике «Справочная информация о ставках и льготах по имущественным налогам» (</w:t>
      </w:r>
      <w:hyperlink r:id="rId18" w:history="1">
        <w:r>
          <w:rPr>
            <w:rStyle w:val="a3"/>
            <w:sz w:val="28"/>
            <w:szCs w:val="28"/>
          </w:rPr>
          <w:t>https://www.nalog.ru/rn77/service/tax/</w:t>
        </w:r>
      </w:hyperlink>
      <w:r>
        <w:rPr>
          <w:sz w:val="28"/>
          <w:szCs w:val="28"/>
        </w:rPr>
        <w:t xml:space="preserve">), либо обратившись в налоговые инспекции или в контакт-центр ФНС России (тел. 8 800 – 222-22-22). 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Земельный налог 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Действует федеральная льгота, которая уменьшает налоговую базу на кадастровую стоимость 600 квадратных метров одного земельного участка. Льготой могут воспользоваться владельцы земельных участков, относящиеся к следующим категориям: пенсионеры; предпенсионеры; </w:t>
      </w:r>
      <w:r>
        <w:rPr>
          <w:rFonts w:eastAsia="Calibri"/>
          <w:sz w:val="28"/>
          <w:szCs w:val="28"/>
        </w:rPr>
        <w:t>инвалиды I и II групп; инвалиды с детства; ветераны Великой Отечественной войны и боевых действий; многодетные; другие категории граждан, указанные в п. 5</w:t>
      </w:r>
      <w:r>
        <w:rPr>
          <w:sz w:val="28"/>
          <w:szCs w:val="28"/>
        </w:rPr>
        <w:t xml:space="preserve"> ст. 391 НК РФ. 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Дополнительные льготы могут быть установлены нормативными правовыми актами представительных органов муниципальных образований (законами городов федерального значения Москвы, Санкт-Петербурга и Севастополя) по месту нахождения земельных участков. 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 информацией о налоговых льготах можно ознакомиться в рубрике «Справочная информация о ставках и льготах по имущественным налогам» (</w:t>
      </w:r>
      <w:hyperlink r:id="rId19" w:history="1">
        <w:r>
          <w:rPr>
            <w:rStyle w:val="a3"/>
            <w:sz w:val="28"/>
            <w:szCs w:val="28"/>
          </w:rPr>
          <w:t>https://www.nalog.ru/rn77/service/tax/</w:t>
        </w:r>
      </w:hyperlink>
      <w:r>
        <w:rPr>
          <w:sz w:val="28"/>
          <w:szCs w:val="28"/>
        </w:rPr>
        <w:t>), либо обратившись в налоговые инспекции или в контакт-центр ФНС России (тел. 8 800 – 222-22-22).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Налог на имущество физлиц 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Льготы для 16-категорий налогоплательщиков (пенсионеры, предпенсионеры, инвалиды, ветераны, военнослужащие, владельцы хозстроений до 50 кв.м и т.п.) предусмотрены ст. 407 НК РФ. Льгота предоставляется в размере подлежащей уплате суммы налога в отношении объекта, не используемого в предпринимательской деятельности. Льгота предоставляется по выбору налогоплательщика в отношении одного объекта каждого вида: 1) квартира или комната; 2) жилой дом; 3) помещение или сооружение, указанные в </w:t>
      </w:r>
      <w:hyperlink r:id="rId20" w:history="1">
        <w:r>
          <w:rPr>
            <w:rStyle w:val="a3"/>
            <w:color w:val="auto"/>
            <w:sz w:val="28"/>
            <w:szCs w:val="28"/>
            <w:u w:val="none"/>
          </w:rPr>
          <w:t>подпункте 14 пункта 1</w:t>
        </w:r>
      </w:hyperlink>
      <w:r>
        <w:rPr>
          <w:sz w:val="28"/>
          <w:szCs w:val="28"/>
        </w:rPr>
        <w:t xml:space="preserve"> статьи 407 НК РФ; 4) хозяйственное строение или сооружение, указанные в </w:t>
      </w:r>
      <w:hyperlink r:id="rId21" w:history="1">
        <w:r>
          <w:rPr>
            <w:rStyle w:val="a3"/>
            <w:color w:val="auto"/>
            <w:sz w:val="28"/>
            <w:szCs w:val="28"/>
            <w:u w:val="none"/>
          </w:rPr>
          <w:t>подпункте 15 пункта 1</w:t>
        </w:r>
      </w:hyperlink>
      <w:r>
        <w:rPr>
          <w:sz w:val="28"/>
          <w:szCs w:val="28"/>
        </w:rPr>
        <w:t xml:space="preserve"> статьи 407 НК РФ; 5) гараж или машино-место.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Дополнительные льготы могут быть установлены нормативными правовыми актами представительных органов муниципальных образований (законами городов федерального значения Москвы, Санкт-Петербурга и Севастополя) по месту нахождения налогооблагаемого имущества. 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 информацией о налоговых льготах можно ознакомиться в рубрике «Справочная информация о ставках и льготах по имущественным налогам» (</w:t>
      </w:r>
      <w:hyperlink r:id="rId22" w:history="1">
        <w:r>
          <w:rPr>
            <w:rStyle w:val="a3"/>
            <w:sz w:val="28"/>
            <w:szCs w:val="28"/>
          </w:rPr>
          <w:t>https://www.nalog.ru/rn77/service/tax/</w:t>
        </w:r>
      </w:hyperlink>
      <w:r>
        <w:rPr>
          <w:sz w:val="28"/>
          <w:szCs w:val="28"/>
        </w:rPr>
        <w:t>), либо обратившись в налоговые инспекции или в контакт-центр ФНС России (тел. 8 800 – 222-22-22).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Шаг 3.</w:t>
      </w:r>
      <w:r>
        <w:rPr>
          <w:sz w:val="28"/>
          <w:szCs w:val="28"/>
        </w:rPr>
        <w:t xml:space="preserve"> Убедившись, что налогоплательщик относиться к категориям лиц, имеющим право на налоговую льготу, но налоговая льгота не учтена в налоговом уведомлении, рекомендуется подать заявление по установленной форме (приказ ФНС России от 14.11.2017 № ММВ-7-21/897@) о предоставлении льготы по транспортному налогу, земельному налогу, налогу на имущество физических лиц.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ранее заявление о предоставлении налоговой льготы направлялось в налоговый орган и в нём не указывалось на то, что льгота будет использована в ограниченный период, заново представлять заявление не требуется. 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Подать заявление о предоставлении налоговой льготы в налоговый орган можно любым удобным способом: через личный кабинет налогоплательщика; почтовым сообщением; путем личного обращения в любую налоговую инспекцию; через уполномоченный МФЦ. 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Что делать, если в налоговом уведомлении некорректная информация 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Сведения о налогооблагаемом имуществе и его владельце (включая характеристики имущества, налоговую базу, правообладателя, период владения) в налоговые органы представляют органы, осуществляющие регистрацию (миграционный учет) физических лиц по месту жительства (месту пребывания), регистрацию актов гражданского состояния физических лиц, органы, осуществляющие государственный кадастровый учет и государственную регистрацию прав на недвижимое имущество, </w:t>
      </w:r>
      <w:hyperlink r:id="rId23" w:history="1">
        <w:r>
          <w:rPr>
            <w:rStyle w:val="a3"/>
            <w:color w:val="auto"/>
            <w:sz w:val="28"/>
            <w:szCs w:val="28"/>
            <w:u w:val="none"/>
          </w:rPr>
          <w:t>органы</w:t>
        </w:r>
      </w:hyperlink>
      <w:r>
        <w:rPr>
          <w:sz w:val="28"/>
          <w:szCs w:val="28"/>
        </w:rPr>
        <w:t>, осуществляющие регистрацию транспортных средств, органы опеки и попечительства, органы (учреждения), уполномоченные совершать нотариальные действия, и нотариусы, органы, осуществляющие выдачу и замену документов, удостоверяющих личность гражданина Российской Федерации на территории Российской Федерации.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Ответственность за достоверность, полноту и актуальность указанных сведений, используемых в целях налогообложения имущества, несут вышеперечисленные регистрирующие органы. Указанные органы представляют информацию в налоговую службу на основании имеющихся в их информационных ресурсах (реестрах, кадастрах, регистрах и т.п.) сведений.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Если, по мнению налогоплательщика, в налоговом уведомлении имеется неактуальная (некорректная) информация об объекте имущества или его владельце (в т.ч. о периоде владения объектом, налоговой базе, адресе), то для её проверки и актуализации необходимо обратиться в налоговые органы любым удобным способом: 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для пользователей «Личного кабинета налогоплательщика» - через личный кабинет налогоплательщика;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для иных лиц: посредством личного обращения в любой налоговый орган либо путём направления почтового сообщения, или с использованием интернет-сервиса ФНС России «Обратиться в ФНС России». 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общему правилу, налоговому органу требуется проведение проверки на предмет подтверждения наличия/отсутствия установленных законодательством оснований для перерасчета налогов и изменения налогового уведомления (направление запроса в регистрирующие органы, проверка информации о наличии налоговой льготы, определение даты начала применения актуальной налоговой базы и т.п.), обработка полученных сведений и внесение необходимых изменений в информационные ресурсы (базы данных, карточки расчетов с бюджетом и т.п.). 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наличии оснований для перерасчета налога и формирования нового налогового уведомления налоговый орган не позднее 30 дней (в исключительных случаях указанный срок может быть продлен не более чем на 30 дней): пересмотрит ранее начисленную сумму налога, сформирует (при наличии оснований) новое налоговое уведомление с указанием нового срока уплаты налога и направит ответ на обращение налогоплательщика (разместит его в личном кабинете налогоплательщика). 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Дополнительную информацию можно получить по телефону налоговой инспекции или контакт-центра ФНС России: 8 800-222-22-22.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 Что делать, если налоговое уведомление не получено 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Налоговые уведомления владельцам налогооблагаемых объектов направляются налоговыми органами (размещаются в личном кабинете налогоплательщика) не позднее 30 дней до наступления срока уплаты налогов: не позднее 1 декабря года, следующего за истекшим налоговым периодом, за который уплачиваются налоги.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этом налоговые уведомления не направляются по почте на бумажном носителе в следующих случаях: 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наличие налоговой льготы, налогового вычета, иных установленных законодательством оснований, полностью освобождающих владельца объекта налогообложения от уплаты налога; 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если общая сумма налогов, отражаемых в налоговом уведомлении, составляет менее 100 рублей, 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уведомления; 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 налогоплательщик является пользователем интернет-сервиса ФНС России – личный кабинет налогоплательщика и при этом не направил в налоговый орган уведомление о необходимости получения налоговых документов на бумажном носителе.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иных случаях при неполучении до 1 ноября налогового уведомления за период владения налогооблагаемыми недвижимостью или транспортным средством, налогоплательщику целесообразно обратиться в налоговую инспекцию либо направить информацию через «Личный кабинет налогоплательщика» или с использованием интернет-сервиса ФНС России «Обратиться в ФНС России».</w:t>
      </w:r>
    </w:p>
    <w:p w:rsidR="00313057" w:rsidRDefault="00313057" w:rsidP="003130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Владельцы недвижимости или транспортных средств, которые никогда не получали налоговые уведомления за истекший налоговый период и не заявляли налоговые льготы в отношении налогооблагаемого имущества, </w:t>
      </w:r>
      <w:hyperlink r:id="rId24" w:history="1">
        <w:r>
          <w:rPr>
            <w:rStyle w:val="a3"/>
            <w:color w:val="auto"/>
            <w:sz w:val="28"/>
            <w:szCs w:val="28"/>
            <w:u w:val="none"/>
          </w:rPr>
          <w:t>обязаны сообщать о наличии у них данных объектов в любой налоговый орган</w:t>
        </w:r>
      </w:hyperlink>
      <w:r>
        <w:rPr>
          <w:sz w:val="28"/>
          <w:szCs w:val="28"/>
        </w:rPr>
        <w:t xml:space="preserve"> (форма сообщения утверждена приказом ФНС России от 26.11.2014 № ММВ-7-11/598@). </w:t>
      </w:r>
    </w:p>
    <w:p w:rsidR="00C14949" w:rsidRDefault="00C14949"/>
    <w:sectPr w:rsidR="00C14949" w:rsidSect="00867F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57"/>
    <w:rsid w:val="0020714C"/>
    <w:rsid w:val="00313057"/>
    <w:rsid w:val="00867FB8"/>
    <w:rsid w:val="00C14949"/>
    <w:rsid w:val="00C5037A"/>
    <w:rsid w:val="00D65ECC"/>
    <w:rsid w:val="00E81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057"/>
    <w:pPr>
      <w:snapToGri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31305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057"/>
    <w:pPr>
      <w:snapToGri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3130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21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log.ru/rn77/service/tax/" TargetMode="External"/><Relationship Id="rId13" Type="http://schemas.openxmlformats.org/officeDocument/2006/relationships/hyperlink" Target="https://www.nalog.ru/rn77/service/tax/" TargetMode="External"/><Relationship Id="rId18" Type="http://schemas.openxmlformats.org/officeDocument/2006/relationships/hyperlink" Target="https://www.nalog.ru/rn77/service/tax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697DE8A3430C0BCBCAD69872580B1B75689B1F6C3FC35CD82AD13AB7DC362D43E4BC14749D0C20o7W3L" TargetMode="External"/><Relationship Id="rId7" Type="http://schemas.openxmlformats.org/officeDocument/2006/relationships/hyperlink" Target="https://www.nalog.ru/rn77/service/tax/" TargetMode="External"/><Relationship Id="rId12" Type="http://schemas.openxmlformats.org/officeDocument/2006/relationships/hyperlink" Target="consultantplus://offline/ref=9A13DDD4F5949782ABCC7F471EBAA0DBD36BC9A260528B02D0162870BECD6B1D85164060D4424C86A700C56DB049752E2E5FDCF0DDC33DACJ" TargetMode="External"/><Relationship Id="rId17" Type="http://schemas.openxmlformats.org/officeDocument/2006/relationships/hyperlink" Target="https://www.nalog.ru/rn77/service/tax/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www.nalog.ru/rn77/service/tax/" TargetMode="External"/><Relationship Id="rId20" Type="http://schemas.openxmlformats.org/officeDocument/2006/relationships/hyperlink" Target="consultantplus://offline/ref=697DE8A3430C0BCBCAD69872580B1B75689B1F6C3FC35CD82AD13AB7DC362D43E4BC14749D0C20o7W2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6DA80ECADC330BAF129C43A7C4211C1101317633752A1BA039446D53F0CEC6214475A04DB388EB507D07D2833g9I" TargetMode="External"/><Relationship Id="rId11" Type="http://schemas.openxmlformats.org/officeDocument/2006/relationships/hyperlink" Target="consultantplus://offline/ref=9A13DDD4F5949782ABCC7F471EBAA0DBD36BC9A260528B02D0162870BECD6B1D85164060D1454186A700C56DB049752E2E5FDCF0DDC33DACJ" TargetMode="External"/><Relationship Id="rId24" Type="http://schemas.openxmlformats.org/officeDocument/2006/relationships/hyperlink" Target="https://www.nalog.ru/rn77/fl/interest/imuch_mes/" TargetMode="External"/><Relationship Id="rId5" Type="http://schemas.openxmlformats.org/officeDocument/2006/relationships/hyperlink" Target="consultantplus://offline/ref=52C97BCA316C18EC794E3A00FBFD3ED8B33AA38E433935002DC8EEF1761FD358981D23FAFCDE9EBF92625CA00B41E87626E13DA941D0D366I70BH" TargetMode="External"/><Relationship Id="rId15" Type="http://schemas.openxmlformats.org/officeDocument/2006/relationships/hyperlink" Target="https://www.nalog.ru/rn77/service/tax/" TargetMode="External"/><Relationship Id="rId23" Type="http://schemas.openxmlformats.org/officeDocument/2006/relationships/hyperlink" Target="consultantplus://offline/ref=6F8C3403CE59A5220BDB708F4EC1B517ED98CA8C42A3A953BB47467636620EBA398848729E65824AP971J" TargetMode="External"/><Relationship Id="rId10" Type="http://schemas.openxmlformats.org/officeDocument/2006/relationships/hyperlink" Target="consultantplus://offline/ref=9A13DDD4F5949782ABCC7F471EBAA0DBD36BC9A260528B02D0162870BECD6B1D85164060D4424C86A700C56DB049752E2E5FDCF0DDC33DACJ" TargetMode="External"/><Relationship Id="rId19" Type="http://schemas.openxmlformats.org/officeDocument/2006/relationships/hyperlink" Target="https://www.nalog.ru/rn77/service/tax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A13DDD4F5949782ABCC7F471EBAA0DBD36BC9A260528B02D0162870BECD6B1D85164060D1454186A700C56DB049752E2E5FDCF0DDC33DACJ" TargetMode="External"/><Relationship Id="rId14" Type="http://schemas.openxmlformats.org/officeDocument/2006/relationships/hyperlink" Target="https://www.nalog.ru/rn77/service/tax/" TargetMode="External"/><Relationship Id="rId22" Type="http://schemas.openxmlformats.org/officeDocument/2006/relationships/hyperlink" Target="https://www.nalog.ru/rn77/service/tax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3408</Words>
  <Characters>19431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Волгосеенко Надежда Михайловна</dc:creator>
  <cp:lastModifiedBy>Экономика-1</cp:lastModifiedBy>
  <cp:revision>2</cp:revision>
  <cp:lastPrinted>2022-09-20T07:20:00Z</cp:lastPrinted>
  <dcterms:created xsi:type="dcterms:W3CDTF">2022-10-27T06:09:00Z</dcterms:created>
  <dcterms:modified xsi:type="dcterms:W3CDTF">2022-10-27T06:09:00Z</dcterms:modified>
</cp:coreProperties>
</file>